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r w:rsidR="00255A3E">
        <w:rPr>
          <w:rFonts w:ascii="Times New Roman" w:hAnsi="Times New Roman" w:cs="Times New Roman"/>
          <w:sz w:val="28"/>
          <w:szCs w:val="28"/>
        </w:rPr>
        <w:t>на</w:t>
      </w:r>
      <w:proofErr w:type="spellEnd"/>
      <w:r w:rsidR="00255A3E">
        <w:rPr>
          <w:rFonts w:ascii="Times New Roman" w:hAnsi="Times New Roman" w:cs="Times New Roman"/>
          <w:sz w:val="28"/>
          <w:szCs w:val="28"/>
        </w:rPr>
        <w:t xml:space="preserve">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r w:rsidRPr="0064391A">
        <w:rPr>
          <w:rFonts w:ascii="Times New Roman" w:hAnsi="Times New Roman" w:cs="Times New Roman"/>
          <w:sz w:val="26"/>
          <w:szCs w:val="26"/>
        </w:rPr>
        <w:lastRenderedPageBreak/>
        <w:t>ГУО «Кормянский районный социально-педагогический центр»</w:t>
      </w: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sectPr w:rsidR="00AA690C" w:rsidSect="00590D36">
      <w:pgSz w:w="16838" w:h="11906" w:orient="landscape"/>
      <w:pgMar w:top="568" w:right="678" w:bottom="426" w:left="567"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DEA"/>
    <w:rsid w:val="00027151"/>
    <w:rsid w:val="001071A7"/>
    <w:rsid w:val="00255A3E"/>
    <w:rsid w:val="00471EFA"/>
    <w:rsid w:val="00590D36"/>
    <w:rsid w:val="005E7473"/>
    <w:rsid w:val="00640DEA"/>
    <w:rsid w:val="0064391A"/>
    <w:rsid w:val="007C10A3"/>
    <w:rsid w:val="008060AE"/>
    <w:rsid w:val="0082602C"/>
    <w:rsid w:val="008C261B"/>
    <w:rsid w:val="00AA690C"/>
    <w:rsid w:val="00C5356F"/>
    <w:rsid w:val="00E220C0"/>
    <w:rsid w:val="00EF30D6"/>
    <w:rsid w:val="00F6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7C1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Lebiajiepc</cp:lastModifiedBy>
  <cp:revision>3</cp:revision>
  <dcterms:created xsi:type="dcterms:W3CDTF">2019-06-19T13:51:00Z</dcterms:created>
  <dcterms:modified xsi:type="dcterms:W3CDTF">2019-06-19T13:52:00Z</dcterms:modified>
</cp:coreProperties>
</file>