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B30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Ответственность за нелегальные азартные игры в сети «Интернет».</w:t>
      </w:r>
    </w:p>
    <w:bookmarkEnd w:id="0"/>
    <w:p w:rsidR="000C74C3" w:rsidRDefault="000C74C3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Запрет на осуществление незаконной деятельности по организации и проведению азартных игр и лотерей с использованием информационно-телекоммуникационных сетей, в том числе сети «Интернет», а также средств связи, в том числе подвижной связи, содержится в ст. 15.1 Федерального закона от </w:t>
      </w:r>
      <w:proofErr w:type="gramStart"/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27.07.2006  №</w:t>
      </w:r>
      <w:proofErr w:type="gramEnd"/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149-ФЗ "Об информации, информационных технологиях и защите информации".</w:t>
      </w:r>
    </w:p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случае нарушения запретов, установленных указанными федеральными законами, лицо может быть привлечено к уголовной или административной ответственности.</w:t>
      </w:r>
    </w:p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 171.2 Уголовного кодекса Российской Федерации лицо подлежит уголовной ответственности за незаконную организацию и проведение азартных игр в сети Интернет вне зависимости от того, какой доход оно получило от этого. Максимальный срок лишения свободы, назначаемый за совершение деяния, предусмотренного ч. 3 ст. 171.2 УК РФ, может составлять до шести лет.</w:t>
      </w:r>
    </w:p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Юридическое лицо может быть привлечено к административной ответственности за незаконные проведение и организацию азартных игр путем использования игрового оборудования вне игровой зоны либо с использованием информационно-телекоммуникационных сетей по ст. 14.1.1 Кодекса РФ об административных правонарушениях (далее по тексту - КоАП РФ). КоАП РФ предусматривает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оборудования.</w:t>
      </w:r>
    </w:p>
    <w:p w:rsidR="00B30B7E" w:rsidRPr="00B30B7E" w:rsidRDefault="00B30B7E" w:rsidP="000C7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B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Административной ответственности по п. 1 ст. 14.3 КоАП РФ подлежат владельцы сайтов, размещающих рекламу интернет-казино, за исключением случаев, предусмотренных законом.</w:t>
      </w:r>
    </w:p>
    <w:p w:rsidR="000C74C3" w:rsidRDefault="000C74C3" w:rsidP="000C7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C3" w:rsidRPr="000C74C3" w:rsidRDefault="00B30B7E" w:rsidP="000C7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2243" w:rsidRPr="000C74C3">
        <w:rPr>
          <w:rFonts w:ascii="Times New Roman" w:hAnsi="Times New Roman" w:cs="Times New Roman"/>
          <w:color w:val="000000" w:themeColor="text1"/>
          <w:sz w:val="28"/>
          <w:szCs w:val="28"/>
        </w:rPr>
        <w:t>омощник прокуро</w:t>
      </w:r>
      <w:r w:rsidR="000C74C3" w:rsidRPr="000C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Курского района </w:t>
      </w:r>
      <w:r w:rsidR="000C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0C74C3" w:rsidRPr="000C74C3">
        <w:rPr>
          <w:rFonts w:ascii="Times New Roman" w:hAnsi="Times New Roman" w:cs="Times New Roman"/>
          <w:color w:val="000000" w:themeColor="text1"/>
          <w:sz w:val="28"/>
          <w:szCs w:val="28"/>
        </w:rPr>
        <w:t>Авдеева Д.С.</w:t>
      </w:r>
    </w:p>
    <w:sectPr w:rsidR="000C74C3" w:rsidRPr="000C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6"/>
    <w:rsid w:val="000C74C3"/>
    <w:rsid w:val="001F1914"/>
    <w:rsid w:val="00232243"/>
    <w:rsid w:val="00274DF5"/>
    <w:rsid w:val="002D6726"/>
    <w:rsid w:val="003E5D50"/>
    <w:rsid w:val="0073031F"/>
    <w:rsid w:val="009D4A9F"/>
    <w:rsid w:val="00B30B7E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B841"/>
  <w15:chartTrackingRefBased/>
  <w15:docId w15:val="{E99142A0-A249-42E8-A0D6-99BF902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2022-05-05T19:08:00Z</dcterms:created>
  <dcterms:modified xsi:type="dcterms:W3CDTF">2022-05-05T19:08:00Z</dcterms:modified>
</cp:coreProperties>
</file>